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29" w:rsidRDefault="00EB0C29" w:rsidP="00EB0C29">
      <w:pPr>
        <w:spacing w:after="0"/>
        <w:jc w:val="center"/>
        <w:rPr>
          <w:rFonts w:ascii="Tahoma" w:hAnsi="Tahoma" w:cs="Tahoma"/>
          <w:b/>
          <w:bCs/>
          <w:sz w:val="16"/>
          <w:szCs w:val="16"/>
        </w:rPr>
      </w:pPr>
      <w:r w:rsidRPr="00A17806">
        <w:rPr>
          <w:rFonts w:ascii="Tahoma" w:hAnsi="Tahoma" w:cs="Tahoma"/>
          <w:b/>
          <w:bCs/>
          <w:sz w:val="16"/>
          <w:szCs w:val="16"/>
        </w:rPr>
        <w:t>Załącznik  Nr 5 do OWP</w:t>
      </w:r>
    </w:p>
    <w:p w:rsidR="000C24D4" w:rsidRPr="00A17806" w:rsidRDefault="000C24D4" w:rsidP="00EB0C29">
      <w:pPr>
        <w:spacing w:after="0"/>
        <w:jc w:val="center"/>
        <w:rPr>
          <w:rFonts w:ascii="Tahoma" w:hAnsi="Tahoma" w:cs="Tahoma"/>
          <w:b/>
          <w:bCs/>
          <w:sz w:val="16"/>
          <w:szCs w:val="16"/>
        </w:rPr>
      </w:pPr>
    </w:p>
    <w:p w:rsidR="00EB0C29" w:rsidRDefault="00EB0C29" w:rsidP="00EB0C29">
      <w:pPr>
        <w:spacing w:after="0"/>
        <w:ind w:left="2832" w:firstLine="708"/>
        <w:rPr>
          <w:rFonts w:ascii="Tahoma" w:hAnsi="Tahoma" w:cs="Tahoma"/>
          <w:b/>
          <w:bCs/>
          <w:sz w:val="16"/>
          <w:szCs w:val="16"/>
        </w:rPr>
      </w:pPr>
      <w:r w:rsidRPr="00A17806">
        <w:rPr>
          <w:rFonts w:ascii="Tahoma" w:hAnsi="Tahoma" w:cs="Tahoma"/>
          <w:b/>
          <w:bCs/>
          <w:sz w:val="16"/>
          <w:szCs w:val="16"/>
        </w:rPr>
        <w:t xml:space="preserve">Informacje dla Kierowcy </w:t>
      </w:r>
    </w:p>
    <w:p w:rsidR="000C24D4" w:rsidRPr="00A17806" w:rsidRDefault="000C24D4" w:rsidP="00EB0C29">
      <w:pPr>
        <w:spacing w:after="0"/>
        <w:ind w:left="2832" w:firstLine="708"/>
        <w:rPr>
          <w:rFonts w:ascii="Tahoma" w:hAnsi="Tahoma" w:cs="Tahoma"/>
          <w:b/>
          <w:bCs/>
          <w:sz w:val="16"/>
          <w:szCs w:val="16"/>
        </w:rPr>
      </w:pPr>
      <w:bookmarkStart w:id="0" w:name="_GoBack"/>
      <w:bookmarkEnd w:id="0"/>
    </w:p>
    <w:p w:rsidR="00EB0C29" w:rsidRPr="00A17806" w:rsidRDefault="00EB0C29" w:rsidP="00EB0C29">
      <w:pPr>
        <w:spacing w:after="0"/>
        <w:rPr>
          <w:rFonts w:ascii="Tahoma" w:hAnsi="Tahoma" w:cs="Tahoma"/>
          <w:b/>
          <w:bCs/>
          <w:sz w:val="16"/>
          <w:szCs w:val="16"/>
        </w:rPr>
      </w:pPr>
      <w:r w:rsidRPr="00A17806">
        <w:rPr>
          <w:rFonts w:ascii="Tahoma" w:hAnsi="Tahoma" w:cs="Tahoma"/>
          <w:b/>
          <w:bCs/>
          <w:sz w:val="16"/>
          <w:szCs w:val="16"/>
        </w:rPr>
        <w:t xml:space="preserve">       Obowiązki Kierowcy</w:t>
      </w:r>
    </w:p>
    <w:p w:rsidR="00EB0C29" w:rsidRPr="00A17806" w:rsidRDefault="00EB0C29" w:rsidP="00EB0C29">
      <w:pPr>
        <w:numPr>
          <w:ilvl w:val="0"/>
          <w:numId w:val="1"/>
        </w:numPr>
        <w:spacing w:after="0"/>
        <w:jc w:val="both"/>
      </w:pPr>
      <w:r w:rsidRPr="00A17806">
        <w:rPr>
          <w:rFonts w:ascii="Tahoma" w:hAnsi="Tahoma" w:cs="Tahoma"/>
          <w:sz w:val="16"/>
          <w:szCs w:val="16"/>
        </w:rPr>
        <w:t>Kierowca zobowiązany jest do przestrzegania przepisów obowiązujących na Terminalach oraz stosowania się do poleceń personelu Terminala.</w:t>
      </w:r>
    </w:p>
    <w:p w:rsidR="00EB0C29" w:rsidRPr="00A17806" w:rsidRDefault="00EB0C29" w:rsidP="00EB0C29">
      <w:pPr>
        <w:numPr>
          <w:ilvl w:val="0"/>
          <w:numId w:val="1"/>
        </w:numPr>
        <w:spacing w:after="0"/>
        <w:jc w:val="both"/>
        <w:rPr>
          <w:rFonts w:ascii="Tahoma" w:hAnsi="Tahoma" w:cs="Tahoma"/>
          <w:sz w:val="16"/>
          <w:szCs w:val="16"/>
        </w:rPr>
      </w:pPr>
      <w:r w:rsidRPr="00A17806">
        <w:rPr>
          <w:rFonts w:ascii="Tahoma" w:hAnsi="Tahoma" w:cs="Tahoma"/>
          <w:sz w:val="16"/>
          <w:szCs w:val="16"/>
        </w:rPr>
        <w:t xml:space="preserve">Kierowca dokonujący samoobsługowego odbioru Produktów z Terminali zobowiązany jest okazać na żądanie personelu                 (w tym Dyspozytora Terminala) i/lub ochrony Terminala dokument umożliwiający identyfikację Kierowcy lub Pojazdu                   (w szczególności dokument stwierdzający tożsamość Kierowcy, Kartę identyfikacyjną Kierowcy, Kartę identyfikacyjną Pojazdu, dowód rejestracyjny Pojazdu). Odmowa okazania dokumentu może skutkować brakiem możliwości realizacji odbioru Produktów. </w:t>
      </w:r>
    </w:p>
    <w:p w:rsidR="00EB0C29" w:rsidRPr="00A17806" w:rsidRDefault="00EB0C29" w:rsidP="00EB0C29">
      <w:pPr>
        <w:numPr>
          <w:ilvl w:val="0"/>
          <w:numId w:val="1"/>
        </w:numPr>
        <w:spacing w:after="0"/>
        <w:jc w:val="both"/>
        <w:rPr>
          <w:rFonts w:ascii="Tahoma" w:hAnsi="Tahoma" w:cs="Tahoma"/>
          <w:sz w:val="16"/>
          <w:szCs w:val="16"/>
        </w:rPr>
      </w:pPr>
      <w:r w:rsidRPr="00A17806">
        <w:rPr>
          <w:rFonts w:ascii="Tahoma" w:hAnsi="Tahoma" w:cs="Tahoma"/>
          <w:sz w:val="16"/>
          <w:szCs w:val="16"/>
        </w:rPr>
        <w:t xml:space="preserve">Przed rozpoczęciem odbioru Produktów, Kierowca zobowiązany jest do zapoznania się z Kartami Bezpieczeństwa Terminali znajdującymi się na poszczególnych Terminalach. </w:t>
      </w:r>
    </w:p>
    <w:p w:rsidR="00EB0C29" w:rsidRPr="00A17806" w:rsidRDefault="00EB0C29" w:rsidP="00EB0C29">
      <w:pPr>
        <w:numPr>
          <w:ilvl w:val="0"/>
          <w:numId w:val="1"/>
        </w:numPr>
        <w:spacing w:after="0"/>
        <w:jc w:val="both"/>
        <w:rPr>
          <w:rFonts w:ascii="Tahoma" w:hAnsi="Tahoma" w:cs="Tahoma"/>
          <w:sz w:val="16"/>
          <w:szCs w:val="16"/>
        </w:rPr>
      </w:pPr>
      <w:r w:rsidRPr="00A17806">
        <w:rPr>
          <w:rFonts w:ascii="Tahoma" w:hAnsi="Tahoma" w:cs="Tahoma"/>
          <w:sz w:val="16"/>
          <w:szCs w:val="16"/>
        </w:rPr>
        <w:t xml:space="preserve">Za naruszenie zasad postępowania obowiązujących na Terminalu, Kierowca może zostać ukarany zgodnie z Matrycą Konsekwencji, która stanowi listę wykroczeń Kierowców i zamieszczona jest na stronie internetowej www.orlen.pl </w:t>
      </w:r>
      <w:r>
        <w:rPr>
          <w:rFonts w:ascii="Tahoma" w:hAnsi="Tahoma" w:cs="Tahoma"/>
          <w:sz w:val="16"/>
          <w:szCs w:val="16"/>
        </w:rPr>
        <w:br/>
      </w:r>
      <w:r w:rsidRPr="00A17806">
        <w:rPr>
          <w:rFonts w:ascii="Tahoma" w:hAnsi="Tahoma" w:cs="Tahoma"/>
          <w:sz w:val="16"/>
          <w:szCs w:val="16"/>
        </w:rPr>
        <w:t xml:space="preserve">oraz dostępna na terenie Terminali. </w:t>
      </w:r>
    </w:p>
    <w:p w:rsidR="00EB0C29" w:rsidRPr="00A17806" w:rsidRDefault="00EB0C29" w:rsidP="00EB0C29">
      <w:pPr>
        <w:spacing w:after="0"/>
        <w:ind w:left="360"/>
        <w:jc w:val="both"/>
        <w:rPr>
          <w:rFonts w:ascii="Tahoma" w:hAnsi="Tahoma" w:cs="Tahoma"/>
          <w:sz w:val="16"/>
          <w:szCs w:val="16"/>
        </w:rPr>
      </w:pPr>
    </w:p>
    <w:p w:rsidR="00EB0C29" w:rsidRPr="00A17806" w:rsidRDefault="00EB0C29" w:rsidP="00EB0C29">
      <w:pPr>
        <w:spacing w:after="0"/>
        <w:ind w:left="426" w:hanging="142"/>
        <w:jc w:val="both"/>
        <w:rPr>
          <w:rFonts w:ascii="Tahoma" w:hAnsi="Tahoma" w:cs="Tahoma"/>
          <w:sz w:val="16"/>
          <w:szCs w:val="16"/>
        </w:rPr>
      </w:pPr>
      <w:r w:rsidRPr="00A17806">
        <w:rPr>
          <w:rFonts w:ascii="Tahoma" w:hAnsi="Tahoma" w:cs="Tahoma"/>
          <w:b/>
          <w:bCs/>
          <w:sz w:val="16"/>
          <w:szCs w:val="16"/>
        </w:rPr>
        <w:t>Karty identyfikacyjne Kierowcy</w:t>
      </w:r>
    </w:p>
    <w:p w:rsidR="00EB0C29" w:rsidRPr="00A17806" w:rsidRDefault="00EB0C29" w:rsidP="00EB0C29">
      <w:pPr>
        <w:numPr>
          <w:ilvl w:val="0"/>
          <w:numId w:val="2"/>
        </w:numPr>
        <w:spacing w:after="0"/>
        <w:jc w:val="both"/>
        <w:rPr>
          <w:rFonts w:ascii="Tahoma" w:hAnsi="Tahoma" w:cs="Tahoma"/>
          <w:sz w:val="16"/>
          <w:szCs w:val="16"/>
        </w:rPr>
      </w:pPr>
      <w:r w:rsidRPr="00A17806">
        <w:rPr>
          <w:rFonts w:ascii="Tahoma" w:hAnsi="Tahoma" w:cs="Tahoma"/>
          <w:sz w:val="16"/>
          <w:szCs w:val="16"/>
        </w:rPr>
        <w:t>Karty są własnością ORLEN S.A. Karty pełnią rolę elektronicznego identyfikatora Kierowcy i Pojazdu w systemach informatycznych.</w:t>
      </w:r>
    </w:p>
    <w:p w:rsidR="00EB0C29" w:rsidRPr="00A17806" w:rsidRDefault="00EB0C29" w:rsidP="00EB0C29">
      <w:pPr>
        <w:numPr>
          <w:ilvl w:val="0"/>
          <w:numId w:val="2"/>
        </w:numPr>
        <w:spacing w:after="0"/>
        <w:ind w:left="426" w:hanging="426"/>
        <w:jc w:val="both"/>
        <w:rPr>
          <w:rFonts w:ascii="Tahoma" w:hAnsi="Tahoma" w:cs="Tahoma"/>
          <w:bCs/>
          <w:snapToGrid w:val="0"/>
          <w:sz w:val="16"/>
          <w:szCs w:val="16"/>
        </w:rPr>
      </w:pPr>
      <w:r w:rsidRPr="00A17806">
        <w:rPr>
          <w:rFonts w:ascii="Tahoma" w:hAnsi="Tahoma" w:cs="Tahoma"/>
          <w:bCs/>
          <w:snapToGrid w:val="0"/>
          <w:sz w:val="16"/>
          <w:szCs w:val="16"/>
        </w:rPr>
        <w:t xml:space="preserve">W celu wydania Karty identyfikacyjnej Kierowcy niezbędne jest podpisanie przez </w:t>
      </w:r>
      <w:r w:rsidRPr="00A17806">
        <w:rPr>
          <w:rFonts w:ascii="Arial" w:hAnsi="Arial" w:cs="Arial"/>
          <w:bCs/>
          <w:snapToGrid w:val="0"/>
          <w:sz w:val="16"/>
          <w:szCs w:val="16"/>
        </w:rPr>
        <w:t xml:space="preserve">Kierowcę </w:t>
      </w:r>
      <w:r w:rsidRPr="00A17806">
        <w:rPr>
          <w:rFonts w:ascii="Tahoma" w:hAnsi="Tahoma" w:cs="Tahoma"/>
          <w:bCs/>
          <w:snapToGrid w:val="0"/>
          <w:sz w:val="16"/>
          <w:szCs w:val="16"/>
        </w:rPr>
        <w:t>Wniosku                                           o wydanie/aktualizację Karty identyfikacyjnej Kierowcy. ORLEN S.A. przekazuje Kartę Przewoźnikowi, a ten Kierowcy.</w:t>
      </w:r>
    </w:p>
    <w:p w:rsidR="00EB0C29" w:rsidRPr="00A17806" w:rsidRDefault="00EB0C29" w:rsidP="00EB0C29">
      <w:pPr>
        <w:numPr>
          <w:ilvl w:val="0"/>
          <w:numId w:val="2"/>
        </w:numPr>
        <w:spacing w:after="0"/>
        <w:jc w:val="both"/>
        <w:rPr>
          <w:rFonts w:ascii="Tahoma" w:hAnsi="Tahoma" w:cs="Tahoma"/>
          <w:bCs/>
          <w:snapToGrid w:val="0"/>
          <w:sz w:val="16"/>
          <w:szCs w:val="16"/>
        </w:rPr>
      </w:pPr>
      <w:r w:rsidRPr="00A17806">
        <w:rPr>
          <w:rFonts w:ascii="Tahoma" w:hAnsi="Tahoma" w:cs="Tahoma"/>
          <w:bCs/>
          <w:snapToGrid w:val="0"/>
          <w:sz w:val="16"/>
          <w:szCs w:val="16"/>
        </w:rPr>
        <w:t>Karta Kierowcy jest zabezpieczona 4-cyfrowym Kodem PIN.</w:t>
      </w:r>
    </w:p>
    <w:p w:rsidR="00EB0C29" w:rsidRPr="00A17806" w:rsidRDefault="00EB0C29" w:rsidP="00EB0C29">
      <w:pPr>
        <w:numPr>
          <w:ilvl w:val="0"/>
          <w:numId w:val="2"/>
        </w:numPr>
        <w:spacing w:after="0"/>
        <w:jc w:val="both"/>
        <w:rPr>
          <w:rFonts w:ascii="Tahoma" w:hAnsi="Tahoma" w:cs="Tahoma"/>
          <w:bCs/>
          <w:snapToGrid w:val="0"/>
          <w:sz w:val="16"/>
          <w:szCs w:val="16"/>
        </w:rPr>
      </w:pPr>
      <w:r w:rsidRPr="00A17806">
        <w:rPr>
          <w:rFonts w:ascii="Tahoma" w:hAnsi="Tahoma" w:cs="Tahoma"/>
          <w:bCs/>
          <w:snapToGrid w:val="0"/>
          <w:sz w:val="16"/>
          <w:szCs w:val="16"/>
        </w:rPr>
        <w:t>Do wydanej Karty identyfikacyjnej Kierowcy przypisany jest tymczasowy Kod PIN.</w:t>
      </w:r>
    </w:p>
    <w:p w:rsidR="00EB0C29" w:rsidRPr="00A17806" w:rsidRDefault="00EB0C29" w:rsidP="00EB0C29">
      <w:pPr>
        <w:numPr>
          <w:ilvl w:val="0"/>
          <w:numId w:val="2"/>
        </w:numPr>
        <w:spacing w:after="0"/>
        <w:jc w:val="both"/>
        <w:rPr>
          <w:rFonts w:ascii="Tahoma" w:hAnsi="Tahoma" w:cs="Tahoma"/>
          <w:bCs/>
          <w:snapToGrid w:val="0"/>
          <w:sz w:val="16"/>
          <w:szCs w:val="16"/>
        </w:rPr>
      </w:pPr>
      <w:r w:rsidRPr="00A17806">
        <w:rPr>
          <w:rFonts w:ascii="Tahoma" w:hAnsi="Tahoma" w:cs="Tahoma"/>
          <w:bCs/>
          <w:snapToGrid w:val="0"/>
          <w:sz w:val="16"/>
          <w:szCs w:val="16"/>
        </w:rPr>
        <w:t xml:space="preserve">Kierowca podczas pierwszego logowania w Kiosku multimedialnym zmienia tymczasowy Kod PIN. Kolejne zmiany </w:t>
      </w:r>
      <w:r>
        <w:rPr>
          <w:rFonts w:ascii="Tahoma" w:hAnsi="Tahoma" w:cs="Tahoma"/>
          <w:bCs/>
          <w:snapToGrid w:val="0"/>
          <w:sz w:val="16"/>
          <w:szCs w:val="16"/>
        </w:rPr>
        <w:br/>
      </w:r>
      <w:r w:rsidRPr="00A17806">
        <w:rPr>
          <w:rFonts w:ascii="Tahoma" w:hAnsi="Tahoma" w:cs="Tahoma"/>
          <w:bCs/>
          <w:snapToGrid w:val="0"/>
          <w:sz w:val="16"/>
          <w:szCs w:val="16"/>
        </w:rPr>
        <w:t>Kodu PIN mogą nastąpić za pośrednictwem CBOK wyłącznie po zweryfikowaniu tożsamości Kierowcy.</w:t>
      </w:r>
    </w:p>
    <w:p w:rsidR="00EB0C29" w:rsidRPr="00A17806" w:rsidRDefault="00EB0C29" w:rsidP="00EB0C29">
      <w:pPr>
        <w:numPr>
          <w:ilvl w:val="0"/>
          <w:numId w:val="2"/>
        </w:numPr>
        <w:spacing w:after="0"/>
        <w:jc w:val="both"/>
        <w:rPr>
          <w:rFonts w:ascii="Tahoma" w:hAnsi="Tahoma" w:cs="Tahoma"/>
          <w:bCs/>
          <w:snapToGrid w:val="0"/>
          <w:sz w:val="16"/>
          <w:szCs w:val="16"/>
        </w:rPr>
      </w:pPr>
      <w:r w:rsidRPr="00A17806">
        <w:rPr>
          <w:rFonts w:ascii="Tahoma" w:hAnsi="Tahoma" w:cs="Tahoma"/>
          <w:bCs/>
          <w:snapToGrid w:val="0"/>
          <w:sz w:val="16"/>
          <w:szCs w:val="16"/>
        </w:rPr>
        <w:t>Karta identyfikacyjna Kierowcy może być używana wyłącznie przez Kierowcę, którego dane są umieszczone na Karcie. Karta jest ważna wyłącznie z dokumentem tożsamości umożliwiającym identyfikację Kierowcy.</w:t>
      </w:r>
    </w:p>
    <w:p w:rsidR="00EB0C29" w:rsidRPr="00A17806" w:rsidRDefault="00EB0C29" w:rsidP="00EB0C29">
      <w:pPr>
        <w:numPr>
          <w:ilvl w:val="0"/>
          <w:numId w:val="2"/>
        </w:numPr>
        <w:spacing w:after="0"/>
        <w:jc w:val="both"/>
        <w:rPr>
          <w:rFonts w:ascii="Tahoma" w:hAnsi="Tahoma" w:cs="Tahoma"/>
          <w:sz w:val="16"/>
          <w:szCs w:val="16"/>
        </w:rPr>
      </w:pPr>
      <w:r w:rsidRPr="00A17806">
        <w:rPr>
          <w:rFonts w:ascii="Tahoma" w:hAnsi="Tahoma" w:cs="Tahoma"/>
          <w:bCs/>
          <w:snapToGrid w:val="0"/>
          <w:sz w:val="16"/>
          <w:szCs w:val="16"/>
        </w:rPr>
        <w:t xml:space="preserve">W przypadku wnioskowania o Kartę identyfikacyjną Kierowcy dla tego samego Kierowcy przez kilku Przewoźników, </w:t>
      </w:r>
      <w:r>
        <w:rPr>
          <w:rFonts w:ascii="Tahoma" w:hAnsi="Tahoma" w:cs="Tahoma"/>
          <w:bCs/>
          <w:snapToGrid w:val="0"/>
          <w:sz w:val="16"/>
          <w:szCs w:val="16"/>
        </w:rPr>
        <w:br/>
      </w:r>
      <w:r w:rsidRPr="00A17806">
        <w:rPr>
          <w:rFonts w:ascii="Tahoma" w:hAnsi="Tahoma" w:cs="Tahoma"/>
          <w:bCs/>
          <w:snapToGrid w:val="0"/>
          <w:sz w:val="16"/>
          <w:szCs w:val="16"/>
        </w:rPr>
        <w:t xml:space="preserve">karta wydawana jest jedynie pierwszemu wnioskodawcy. </w:t>
      </w:r>
    </w:p>
    <w:p w:rsidR="00EB0C29" w:rsidRPr="00A17806" w:rsidRDefault="00EB0C29" w:rsidP="00EB0C29">
      <w:pPr>
        <w:numPr>
          <w:ilvl w:val="0"/>
          <w:numId w:val="2"/>
        </w:numPr>
        <w:spacing w:after="0"/>
        <w:ind w:left="426" w:hanging="426"/>
        <w:jc w:val="both"/>
        <w:rPr>
          <w:rFonts w:ascii="Tahoma" w:hAnsi="Tahoma" w:cs="Tahoma"/>
          <w:snapToGrid w:val="0"/>
          <w:sz w:val="16"/>
          <w:szCs w:val="16"/>
        </w:rPr>
      </w:pPr>
      <w:r w:rsidRPr="00A17806">
        <w:rPr>
          <w:rFonts w:ascii="Tahoma" w:hAnsi="Tahoma" w:cs="Tahoma"/>
          <w:sz w:val="16"/>
          <w:szCs w:val="16"/>
        </w:rPr>
        <w:t xml:space="preserve">Kierowca zobowiązany jest skutecznie zabezpieczyć i ochraniać Karty oraz nie udostępniać ich osobom nieupoważnionym. </w:t>
      </w:r>
    </w:p>
    <w:p w:rsidR="00EB0C29" w:rsidRPr="00A17806" w:rsidRDefault="00EB0C29" w:rsidP="00EB0C29">
      <w:pPr>
        <w:numPr>
          <w:ilvl w:val="0"/>
          <w:numId w:val="2"/>
        </w:numPr>
        <w:spacing w:after="0"/>
        <w:ind w:left="426" w:hanging="426"/>
        <w:jc w:val="both"/>
        <w:rPr>
          <w:rFonts w:ascii="Tahoma" w:hAnsi="Tahoma" w:cs="Tahoma"/>
          <w:sz w:val="16"/>
          <w:szCs w:val="16"/>
        </w:rPr>
      </w:pPr>
      <w:r w:rsidRPr="00A17806">
        <w:rPr>
          <w:rFonts w:ascii="Tahoma" w:hAnsi="Tahoma" w:cs="Tahoma"/>
          <w:sz w:val="16"/>
          <w:szCs w:val="16"/>
        </w:rPr>
        <w:t>W przypadku:</w:t>
      </w:r>
    </w:p>
    <w:p w:rsidR="00EB0C29" w:rsidRPr="00A17806" w:rsidRDefault="00EB0C29" w:rsidP="00EB0C29">
      <w:pPr>
        <w:numPr>
          <w:ilvl w:val="0"/>
          <w:numId w:val="5"/>
        </w:numPr>
        <w:spacing w:after="0"/>
        <w:jc w:val="both"/>
        <w:rPr>
          <w:rFonts w:ascii="Tahoma" w:hAnsi="Tahoma" w:cs="Tahoma"/>
          <w:sz w:val="16"/>
          <w:szCs w:val="16"/>
        </w:rPr>
      </w:pPr>
      <w:r w:rsidRPr="00A17806">
        <w:rPr>
          <w:rFonts w:ascii="Tahoma" w:hAnsi="Tahoma" w:cs="Tahoma"/>
          <w:sz w:val="16"/>
          <w:szCs w:val="16"/>
        </w:rPr>
        <w:t>utraty lub zniszczenia Kart,</w:t>
      </w:r>
    </w:p>
    <w:p w:rsidR="00EB0C29" w:rsidRPr="00A17806" w:rsidRDefault="00EB0C29" w:rsidP="00EB0C29">
      <w:pPr>
        <w:numPr>
          <w:ilvl w:val="0"/>
          <w:numId w:val="5"/>
        </w:numPr>
        <w:spacing w:after="0"/>
        <w:ind w:left="720"/>
        <w:jc w:val="both"/>
        <w:rPr>
          <w:rFonts w:ascii="Tahoma" w:hAnsi="Tahoma" w:cs="Tahoma"/>
          <w:sz w:val="16"/>
          <w:szCs w:val="16"/>
        </w:rPr>
      </w:pPr>
      <w:r w:rsidRPr="00A17806">
        <w:rPr>
          <w:rFonts w:ascii="Tahoma" w:hAnsi="Tahoma" w:cs="Tahoma"/>
          <w:sz w:val="16"/>
          <w:szCs w:val="16"/>
        </w:rPr>
        <w:t xml:space="preserve">wystąpienia podejrzeń o możliwość wejścia osób nieupoważnionych w posiadanie Kart, </w:t>
      </w:r>
    </w:p>
    <w:p w:rsidR="00EB0C29" w:rsidRPr="00A17806" w:rsidRDefault="00EB0C29" w:rsidP="00EB0C29">
      <w:pPr>
        <w:numPr>
          <w:ilvl w:val="0"/>
          <w:numId w:val="5"/>
        </w:numPr>
        <w:spacing w:after="0"/>
        <w:ind w:left="720"/>
        <w:jc w:val="both"/>
        <w:rPr>
          <w:rFonts w:ascii="Tahoma" w:hAnsi="Tahoma" w:cs="Tahoma"/>
          <w:sz w:val="16"/>
          <w:szCs w:val="16"/>
        </w:rPr>
      </w:pPr>
      <w:r w:rsidRPr="00A17806">
        <w:rPr>
          <w:rFonts w:ascii="Tahoma" w:hAnsi="Tahoma" w:cs="Tahoma"/>
          <w:sz w:val="16"/>
          <w:szCs w:val="16"/>
        </w:rPr>
        <w:t>użycia lub podejrzenia użycia przez osoby nieupoważnione Kart</w:t>
      </w:r>
    </w:p>
    <w:p w:rsidR="00EB0C29" w:rsidRPr="00A17806" w:rsidRDefault="00EB0C29" w:rsidP="00EB0C29">
      <w:pPr>
        <w:tabs>
          <w:tab w:val="left" w:pos="6300"/>
        </w:tabs>
        <w:spacing w:after="0"/>
        <w:ind w:left="360"/>
        <w:jc w:val="both"/>
        <w:rPr>
          <w:rFonts w:ascii="Tahoma" w:hAnsi="Tahoma" w:cs="Tahoma"/>
          <w:sz w:val="16"/>
          <w:szCs w:val="16"/>
        </w:rPr>
      </w:pPr>
      <w:r w:rsidRPr="00A17806">
        <w:rPr>
          <w:rFonts w:ascii="Tahoma" w:hAnsi="Tahoma" w:cs="Tahoma"/>
          <w:sz w:val="16"/>
          <w:szCs w:val="16"/>
        </w:rPr>
        <w:t xml:space="preserve">należy niezwłocznie zawiadomić CBOK celem zablokowania Kart. Blokada następuje niezwłocznie po otrzymaniu </w:t>
      </w:r>
      <w:r>
        <w:rPr>
          <w:rFonts w:ascii="Tahoma" w:hAnsi="Tahoma" w:cs="Tahoma"/>
          <w:sz w:val="16"/>
          <w:szCs w:val="16"/>
        </w:rPr>
        <w:br/>
      </w:r>
      <w:r w:rsidRPr="00A17806">
        <w:rPr>
          <w:rFonts w:ascii="Tahoma" w:hAnsi="Tahoma" w:cs="Tahoma"/>
          <w:sz w:val="16"/>
          <w:szCs w:val="16"/>
        </w:rPr>
        <w:t>przez CBOK dyspozycji dokonania blokady Karty.</w:t>
      </w:r>
    </w:p>
    <w:p w:rsidR="00EB0C29" w:rsidRPr="00A17806" w:rsidRDefault="00EB0C29" w:rsidP="00EB0C29">
      <w:pPr>
        <w:numPr>
          <w:ilvl w:val="0"/>
          <w:numId w:val="2"/>
        </w:numPr>
        <w:spacing w:after="0"/>
        <w:jc w:val="both"/>
        <w:rPr>
          <w:rFonts w:ascii="Tahoma" w:hAnsi="Tahoma" w:cs="Tahoma"/>
          <w:sz w:val="16"/>
          <w:szCs w:val="16"/>
        </w:rPr>
      </w:pPr>
      <w:r w:rsidRPr="00A17806">
        <w:rPr>
          <w:rFonts w:ascii="Tahoma" w:hAnsi="Tahoma" w:cs="Tahoma"/>
          <w:sz w:val="16"/>
          <w:szCs w:val="16"/>
        </w:rPr>
        <w:t>Odnaleziona Karta zgłoszona jako utracona nie może być używana i powinna zostać niezwłocznie zwrócona do CBOK.</w:t>
      </w:r>
    </w:p>
    <w:p w:rsidR="00EB0C29" w:rsidRPr="00A17806" w:rsidRDefault="00EB0C29" w:rsidP="00EB0C29">
      <w:pPr>
        <w:spacing w:after="0"/>
        <w:jc w:val="both"/>
        <w:rPr>
          <w:rFonts w:ascii="Tahoma" w:hAnsi="Tahoma" w:cs="Tahoma"/>
          <w:sz w:val="16"/>
          <w:szCs w:val="16"/>
        </w:rPr>
      </w:pPr>
    </w:p>
    <w:p w:rsidR="00EB0C29" w:rsidRPr="00A17806" w:rsidRDefault="00EB0C29" w:rsidP="00EB0C29">
      <w:pPr>
        <w:spacing w:after="0"/>
        <w:ind w:hanging="142"/>
        <w:jc w:val="both"/>
        <w:rPr>
          <w:rFonts w:ascii="Tahoma" w:hAnsi="Tahoma" w:cs="Tahoma"/>
          <w:b/>
          <w:sz w:val="16"/>
          <w:szCs w:val="16"/>
        </w:rPr>
      </w:pPr>
      <w:r w:rsidRPr="00A17806">
        <w:rPr>
          <w:rFonts w:ascii="Tahoma" w:hAnsi="Tahoma" w:cs="Tahoma"/>
          <w:b/>
          <w:sz w:val="16"/>
          <w:szCs w:val="16"/>
        </w:rPr>
        <w:t xml:space="preserve">        Zasady Odbioru Produktów</w:t>
      </w:r>
    </w:p>
    <w:p w:rsidR="00EB0C29" w:rsidRPr="00A17806" w:rsidRDefault="00EB0C29" w:rsidP="00EB0C29">
      <w:pPr>
        <w:numPr>
          <w:ilvl w:val="0"/>
          <w:numId w:val="3"/>
        </w:numPr>
        <w:autoSpaceDE w:val="0"/>
        <w:autoSpaceDN w:val="0"/>
        <w:spacing w:after="0"/>
        <w:jc w:val="both"/>
        <w:rPr>
          <w:rFonts w:ascii="Tahoma" w:eastAsia="Times New Roman" w:hAnsi="Tahoma" w:cs="Tahoma"/>
          <w:sz w:val="16"/>
          <w:szCs w:val="16"/>
          <w:lang w:eastAsia="pl-PL"/>
        </w:rPr>
      </w:pPr>
      <w:r w:rsidRPr="00A17806">
        <w:rPr>
          <w:rFonts w:ascii="Tahoma" w:eastAsia="Times New Roman" w:hAnsi="Tahoma" w:cs="Tahoma"/>
          <w:sz w:val="16"/>
          <w:szCs w:val="16"/>
          <w:lang w:eastAsia="pl-PL"/>
        </w:rPr>
        <w:t xml:space="preserve">Wjazd na teren Terminala oraz samoobsługowa realizacja odbioru Produktów odbywa się na podstawie ważnej Karty identyfikacyjnej Kierowcy i ważnych/ej Kart/y identyfikacyjnych/ej Pojazdów/u. Kierowca musi posiadać ukończone szkolenie z zakresu BHP oraz obsługi urządzeń nalewczych. </w:t>
      </w:r>
    </w:p>
    <w:p w:rsidR="00EB0C29" w:rsidRPr="00A17806" w:rsidRDefault="00EB0C29" w:rsidP="00EB0C29">
      <w:pPr>
        <w:numPr>
          <w:ilvl w:val="0"/>
          <w:numId w:val="3"/>
        </w:numPr>
        <w:autoSpaceDE w:val="0"/>
        <w:autoSpaceDN w:val="0"/>
        <w:spacing w:after="0"/>
        <w:jc w:val="both"/>
        <w:rPr>
          <w:rFonts w:ascii="Tahoma" w:eastAsia="Times New Roman" w:hAnsi="Tahoma" w:cs="Tahoma"/>
          <w:sz w:val="16"/>
          <w:szCs w:val="16"/>
          <w:lang w:eastAsia="pl-PL"/>
        </w:rPr>
      </w:pPr>
      <w:r w:rsidRPr="00A17806">
        <w:rPr>
          <w:rFonts w:ascii="Tahoma" w:eastAsia="Times New Roman" w:hAnsi="Tahoma" w:cs="Tahoma"/>
          <w:sz w:val="16"/>
          <w:szCs w:val="16"/>
          <w:lang w:eastAsia="pl-PL"/>
        </w:rPr>
        <w:t>Samoobsługowa realizacja odbioru Produktów odbywa się przy użyciu Kiosków multimedialnych, umożliwiających samodzielne przygotowanie przez Kierowcę odbioru Produktów z Terminala.</w:t>
      </w:r>
    </w:p>
    <w:p w:rsidR="00EB0C29" w:rsidRPr="00A17806" w:rsidRDefault="00EB0C29" w:rsidP="00EB0C29">
      <w:pPr>
        <w:numPr>
          <w:ilvl w:val="0"/>
          <w:numId w:val="3"/>
        </w:numPr>
        <w:autoSpaceDE w:val="0"/>
        <w:autoSpaceDN w:val="0"/>
        <w:spacing w:after="0"/>
        <w:jc w:val="both"/>
        <w:rPr>
          <w:rFonts w:ascii="Tahoma" w:eastAsia="Times New Roman" w:hAnsi="Tahoma" w:cs="Tahoma"/>
          <w:sz w:val="16"/>
          <w:szCs w:val="16"/>
          <w:lang w:eastAsia="pl-PL"/>
        </w:rPr>
      </w:pPr>
      <w:r w:rsidRPr="00A17806">
        <w:rPr>
          <w:rFonts w:ascii="Tahoma" w:eastAsia="Times New Roman" w:hAnsi="Tahoma" w:cs="Tahoma"/>
          <w:sz w:val="16"/>
          <w:szCs w:val="16"/>
          <w:lang w:eastAsia="pl-PL"/>
        </w:rPr>
        <w:t>Do odbioru Produktów dopuszcza się jedynie Pojazdy sprawne technicznie, z opróżnionymi komorami, co Kierowca zobowiązany jest potwierdzić każdorazowo w Kiosku multimedialnym.</w:t>
      </w:r>
    </w:p>
    <w:p w:rsidR="00EB0C29" w:rsidRPr="00A17806" w:rsidRDefault="00EB0C29" w:rsidP="00EB0C29">
      <w:pPr>
        <w:numPr>
          <w:ilvl w:val="0"/>
          <w:numId w:val="3"/>
        </w:numPr>
        <w:autoSpaceDE w:val="0"/>
        <w:autoSpaceDN w:val="0"/>
        <w:spacing w:after="0"/>
        <w:jc w:val="both"/>
        <w:rPr>
          <w:rFonts w:ascii="Tahoma" w:eastAsia="Times New Roman" w:hAnsi="Tahoma" w:cs="Tahoma"/>
          <w:sz w:val="16"/>
          <w:szCs w:val="16"/>
          <w:lang w:eastAsia="pl-PL"/>
        </w:rPr>
      </w:pPr>
      <w:r w:rsidRPr="00A17806">
        <w:rPr>
          <w:rFonts w:ascii="Tahoma" w:eastAsia="Times New Roman" w:hAnsi="Tahoma" w:cs="Tahoma"/>
          <w:sz w:val="16"/>
          <w:szCs w:val="16"/>
          <w:lang w:eastAsia="pl-PL"/>
        </w:rPr>
        <w:t xml:space="preserve">Kierowcy realizujący odbiór Produktów na podstawie Dyspozycji szczegółowych (zawierających </w:t>
      </w:r>
      <w:r w:rsidRPr="00A17806">
        <w:rPr>
          <w:rFonts w:ascii="Tahoma" w:eastAsia="Times New Roman" w:hAnsi="Tahoma" w:cs="Tahoma"/>
          <w:bCs/>
          <w:sz w:val="16"/>
          <w:szCs w:val="16"/>
          <w:lang w:eastAsia="pl-PL"/>
        </w:rPr>
        <w:t>opis rozmieszczenia Produktów w komorach Pojazdu),</w:t>
      </w:r>
      <w:r w:rsidRPr="00A17806">
        <w:rPr>
          <w:rFonts w:ascii="Tahoma" w:eastAsia="Times New Roman" w:hAnsi="Tahoma" w:cs="Tahoma"/>
          <w:sz w:val="16"/>
          <w:szCs w:val="16"/>
          <w:lang w:eastAsia="pl-PL"/>
        </w:rPr>
        <w:t xml:space="preserve"> korzystają z Kiosków multimedialnych wjazdowych dostępnych z kabiny Pojazdu. </w:t>
      </w:r>
    </w:p>
    <w:p w:rsidR="00EB0C29" w:rsidRPr="00A17806" w:rsidRDefault="00EB0C29" w:rsidP="00EB0C29">
      <w:pPr>
        <w:numPr>
          <w:ilvl w:val="0"/>
          <w:numId w:val="3"/>
        </w:numPr>
        <w:autoSpaceDE w:val="0"/>
        <w:autoSpaceDN w:val="0"/>
        <w:spacing w:after="0"/>
        <w:jc w:val="both"/>
        <w:rPr>
          <w:rFonts w:ascii="Tahoma" w:eastAsia="Times New Roman" w:hAnsi="Tahoma" w:cs="Tahoma"/>
          <w:sz w:val="16"/>
          <w:szCs w:val="16"/>
          <w:lang w:eastAsia="pl-PL"/>
        </w:rPr>
      </w:pPr>
      <w:r w:rsidRPr="00A17806">
        <w:rPr>
          <w:rFonts w:ascii="Tahoma" w:eastAsia="Times New Roman" w:hAnsi="Tahoma" w:cs="Tahoma"/>
          <w:sz w:val="16"/>
          <w:szCs w:val="16"/>
          <w:lang w:eastAsia="pl-PL"/>
        </w:rPr>
        <w:t xml:space="preserve">Kierowcy uzupełniający Dyspozycję ogólną o </w:t>
      </w:r>
      <w:r w:rsidRPr="00A17806">
        <w:rPr>
          <w:rFonts w:ascii="Tahoma" w:eastAsia="Times New Roman" w:hAnsi="Tahoma" w:cs="Tahoma"/>
          <w:bCs/>
          <w:sz w:val="16"/>
          <w:szCs w:val="16"/>
          <w:lang w:eastAsia="pl-PL"/>
        </w:rPr>
        <w:t>opis rozmieszczenia Produktów w komorach Pojazdu,</w:t>
      </w:r>
      <w:r w:rsidRPr="00A17806">
        <w:rPr>
          <w:rFonts w:ascii="Tahoma" w:eastAsia="Times New Roman" w:hAnsi="Tahoma" w:cs="Tahoma"/>
          <w:sz w:val="16"/>
          <w:szCs w:val="16"/>
          <w:lang w:eastAsia="pl-PL"/>
        </w:rPr>
        <w:t xml:space="preserve"> korzystają wyłącznie                  z Kiosków multimedialnych pieszych. </w:t>
      </w:r>
    </w:p>
    <w:p w:rsidR="00EB0C29" w:rsidRPr="00A17806" w:rsidRDefault="00EB0C29" w:rsidP="00EB0C29">
      <w:pPr>
        <w:numPr>
          <w:ilvl w:val="0"/>
          <w:numId w:val="3"/>
        </w:numPr>
        <w:autoSpaceDE w:val="0"/>
        <w:autoSpaceDN w:val="0"/>
        <w:spacing w:after="0"/>
        <w:jc w:val="both"/>
        <w:rPr>
          <w:rFonts w:ascii="Tahoma" w:eastAsia="Times New Roman" w:hAnsi="Tahoma" w:cs="Tahoma"/>
          <w:sz w:val="16"/>
          <w:szCs w:val="16"/>
          <w:lang w:eastAsia="pl-PL"/>
        </w:rPr>
      </w:pPr>
      <w:r w:rsidRPr="00A17806">
        <w:rPr>
          <w:rFonts w:ascii="Tahoma" w:eastAsia="Times New Roman" w:hAnsi="Tahoma" w:cs="Tahoma"/>
          <w:bCs/>
          <w:sz w:val="16"/>
          <w:szCs w:val="16"/>
          <w:lang w:eastAsia="pl-PL"/>
        </w:rPr>
        <w:t>Przed wydrukowaniem Dyspozycji</w:t>
      </w:r>
      <w:r w:rsidRPr="00A17806">
        <w:rPr>
          <w:rFonts w:ascii="Tahoma" w:eastAsia="Times New Roman" w:hAnsi="Tahoma" w:cs="Tahoma"/>
          <w:b/>
          <w:bCs/>
          <w:sz w:val="16"/>
          <w:szCs w:val="16"/>
          <w:lang w:eastAsia="pl-PL"/>
        </w:rPr>
        <w:t xml:space="preserve"> </w:t>
      </w:r>
      <w:r w:rsidRPr="00A17806">
        <w:rPr>
          <w:rFonts w:ascii="Tahoma" w:eastAsia="Times New Roman" w:hAnsi="Tahoma" w:cs="Tahoma"/>
          <w:bCs/>
          <w:sz w:val="16"/>
          <w:szCs w:val="16"/>
          <w:lang w:eastAsia="pl-PL"/>
        </w:rPr>
        <w:t>(zarówno Dyspozycji ogólnej, jak i Dyspozycji szczegółowej)</w:t>
      </w:r>
      <w:r w:rsidRPr="00A17806">
        <w:rPr>
          <w:rFonts w:ascii="Tahoma" w:eastAsia="Times New Roman" w:hAnsi="Tahoma" w:cs="Tahoma"/>
          <w:b/>
          <w:bCs/>
          <w:sz w:val="16"/>
          <w:szCs w:val="16"/>
          <w:lang w:eastAsia="pl-PL"/>
        </w:rPr>
        <w:t xml:space="preserve"> </w:t>
      </w:r>
      <w:r w:rsidRPr="00A17806">
        <w:rPr>
          <w:rFonts w:ascii="Tahoma" w:eastAsia="Times New Roman" w:hAnsi="Tahoma" w:cs="Tahoma"/>
          <w:sz w:val="16"/>
          <w:szCs w:val="16"/>
          <w:lang w:eastAsia="pl-PL"/>
        </w:rPr>
        <w:t>należy wykonać następujące czynności:</w:t>
      </w:r>
    </w:p>
    <w:p w:rsidR="00EB0C29" w:rsidRPr="00A17806" w:rsidRDefault="00EB0C29" w:rsidP="00EB0C29">
      <w:pPr>
        <w:numPr>
          <w:ilvl w:val="0"/>
          <w:numId w:val="4"/>
        </w:numPr>
        <w:spacing w:after="0"/>
        <w:jc w:val="both"/>
        <w:rPr>
          <w:rFonts w:ascii="Tahoma" w:hAnsi="Tahoma" w:cs="Tahoma"/>
          <w:sz w:val="16"/>
          <w:szCs w:val="16"/>
        </w:rPr>
      </w:pPr>
      <w:r w:rsidRPr="00A17806">
        <w:rPr>
          <w:rFonts w:ascii="Tahoma" w:hAnsi="Tahoma" w:cs="Tahoma"/>
          <w:sz w:val="16"/>
          <w:szCs w:val="16"/>
        </w:rPr>
        <w:t xml:space="preserve">dokonać identyfikacji Kierowcy zbliżając Kartę identyfikacyjną Kierowcy do czytnika kart i wprowadzić kod PIN Karty, </w:t>
      </w:r>
    </w:p>
    <w:p w:rsidR="00EB0C29" w:rsidRPr="00A17806" w:rsidRDefault="00EB0C29" w:rsidP="00EB0C29">
      <w:pPr>
        <w:numPr>
          <w:ilvl w:val="0"/>
          <w:numId w:val="4"/>
        </w:numPr>
        <w:spacing w:after="0"/>
        <w:jc w:val="both"/>
        <w:rPr>
          <w:rFonts w:ascii="Tahoma" w:hAnsi="Tahoma" w:cs="Tahoma"/>
          <w:sz w:val="16"/>
          <w:szCs w:val="16"/>
        </w:rPr>
      </w:pPr>
      <w:r w:rsidRPr="00A17806">
        <w:rPr>
          <w:rFonts w:ascii="Tahoma" w:hAnsi="Tahoma" w:cs="Tahoma"/>
          <w:sz w:val="16"/>
          <w:szCs w:val="16"/>
        </w:rPr>
        <w:t>dokonać identyfikacji Pojazdów/u po zbliżeniu Kart/y identyfikacyjnej/</w:t>
      </w:r>
      <w:proofErr w:type="spellStart"/>
      <w:r w:rsidRPr="00A17806">
        <w:rPr>
          <w:rFonts w:ascii="Tahoma" w:hAnsi="Tahoma" w:cs="Tahoma"/>
          <w:sz w:val="16"/>
          <w:szCs w:val="16"/>
        </w:rPr>
        <w:t>ych</w:t>
      </w:r>
      <w:proofErr w:type="spellEnd"/>
      <w:r w:rsidRPr="00A17806">
        <w:rPr>
          <w:rFonts w:ascii="Tahoma" w:hAnsi="Tahoma" w:cs="Tahoma"/>
          <w:sz w:val="16"/>
          <w:szCs w:val="16"/>
        </w:rPr>
        <w:t xml:space="preserve"> Pojazdów/u,</w:t>
      </w:r>
    </w:p>
    <w:p w:rsidR="00EB0C29" w:rsidRPr="00A17806" w:rsidRDefault="00EB0C29" w:rsidP="00EB0C29">
      <w:pPr>
        <w:numPr>
          <w:ilvl w:val="0"/>
          <w:numId w:val="4"/>
        </w:numPr>
        <w:spacing w:after="0"/>
        <w:jc w:val="both"/>
        <w:rPr>
          <w:rFonts w:ascii="Tahoma" w:hAnsi="Tahoma" w:cs="Tahoma"/>
          <w:sz w:val="16"/>
          <w:szCs w:val="16"/>
        </w:rPr>
      </w:pPr>
      <w:r w:rsidRPr="00A17806">
        <w:rPr>
          <w:rFonts w:ascii="Tahoma" w:hAnsi="Tahoma" w:cs="Tahoma"/>
          <w:sz w:val="16"/>
          <w:szCs w:val="16"/>
        </w:rPr>
        <w:t>poświadczyć, że Pojazd jest sprawny technicznie i posiada opróżnione komory,</w:t>
      </w:r>
    </w:p>
    <w:p w:rsidR="00EB0C29" w:rsidRPr="00A17806" w:rsidRDefault="00EB0C29" w:rsidP="00EB0C29">
      <w:pPr>
        <w:numPr>
          <w:ilvl w:val="0"/>
          <w:numId w:val="4"/>
        </w:numPr>
        <w:spacing w:after="0"/>
        <w:jc w:val="both"/>
        <w:rPr>
          <w:rFonts w:ascii="Tahoma" w:hAnsi="Tahoma" w:cs="Tahoma"/>
          <w:sz w:val="16"/>
          <w:szCs w:val="16"/>
        </w:rPr>
      </w:pPr>
      <w:r w:rsidRPr="00A17806">
        <w:rPr>
          <w:rFonts w:ascii="Tahoma" w:hAnsi="Tahoma" w:cs="Tahoma"/>
          <w:sz w:val="16"/>
          <w:szCs w:val="16"/>
        </w:rPr>
        <w:t>poświadczyć znajomość Karty Bezpieczeństwa Terminala oraz Matrycy Konsekwencji,</w:t>
      </w:r>
    </w:p>
    <w:p w:rsidR="00EB0C29" w:rsidRPr="00A17806" w:rsidRDefault="00EB0C29" w:rsidP="00EB0C29">
      <w:pPr>
        <w:numPr>
          <w:ilvl w:val="0"/>
          <w:numId w:val="4"/>
        </w:numPr>
        <w:spacing w:after="0"/>
        <w:jc w:val="both"/>
        <w:rPr>
          <w:rFonts w:ascii="Tahoma" w:hAnsi="Tahoma" w:cs="Tahoma"/>
          <w:sz w:val="16"/>
          <w:szCs w:val="16"/>
        </w:rPr>
      </w:pPr>
      <w:r w:rsidRPr="00A17806">
        <w:rPr>
          <w:rFonts w:ascii="Tahoma" w:hAnsi="Tahoma" w:cs="Tahoma"/>
          <w:sz w:val="16"/>
          <w:szCs w:val="16"/>
        </w:rPr>
        <w:t>wybrać gotową do realizacji Dyspozycję szczegółową z listy dostępnych Dyspozycji i wydrukować ją</w:t>
      </w:r>
    </w:p>
    <w:p w:rsidR="00EB0C29" w:rsidRPr="00A17806" w:rsidRDefault="00EB0C29" w:rsidP="00EB0C29">
      <w:pPr>
        <w:spacing w:after="0"/>
        <w:ind w:left="729"/>
        <w:jc w:val="both"/>
        <w:rPr>
          <w:rFonts w:ascii="Tahoma" w:hAnsi="Tahoma" w:cs="Tahoma"/>
          <w:sz w:val="16"/>
          <w:szCs w:val="16"/>
        </w:rPr>
      </w:pPr>
      <w:r w:rsidRPr="00A17806">
        <w:rPr>
          <w:rFonts w:ascii="Tahoma" w:hAnsi="Tahoma" w:cs="Tahoma"/>
          <w:sz w:val="16"/>
          <w:szCs w:val="16"/>
        </w:rPr>
        <w:t>albo</w:t>
      </w:r>
    </w:p>
    <w:p w:rsidR="00EB0C29" w:rsidRPr="00A17806" w:rsidRDefault="00EB0C29" w:rsidP="00EB0C29">
      <w:pPr>
        <w:numPr>
          <w:ilvl w:val="0"/>
          <w:numId w:val="4"/>
        </w:numPr>
        <w:spacing w:after="0"/>
        <w:jc w:val="both"/>
        <w:rPr>
          <w:rFonts w:ascii="Tahoma" w:hAnsi="Tahoma" w:cs="Tahoma"/>
          <w:sz w:val="16"/>
          <w:szCs w:val="16"/>
        </w:rPr>
      </w:pPr>
      <w:r w:rsidRPr="00A17806">
        <w:rPr>
          <w:rFonts w:ascii="Tahoma" w:hAnsi="Tahoma" w:cs="Tahoma"/>
          <w:sz w:val="16"/>
          <w:szCs w:val="16"/>
        </w:rPr>
        <w:lastRenderedPageBreak/>
        <w:t>wybrać przeznaczoną do realizacji Dyspozycję ogólną z listy dostępnych Dyspozycji ogólnych i uzupełnić ją (sporządzić opis rozmieszczenia Produktów w komorach Pojazdu, do którego nastąpi załadunek lub zmniejszyć ilość Produktów przeznaczonych do załadunku w poszczególnych komorach)  i następnie wydrukować.</w:t>
      </w:r>
    </w:p>
    <w:p w:rsidR="00EB0C29" w:rsidRPr="00A17806" w:rsidRDefault="00EB0C29" w:rsidP="00EB0C29">
      <w:pPr>
        <w:numPr>
          <w:ilvl w:val="0"/>
          <w:numId w:val="3"/>
        </w:numPr>
        <w:autoSpaceDE w:val="0"/>
        <w:autoSpaceDN w:val="0"/>
        <w:spacing w:after="0"/>
        <w:jc w:val="both"/>
        <w:rPr>
          <w:rFonts w:ascii="Tahoma" w:eastAsia="Times New Roman" w:hAnsi="Tahoma" w:cs="Tahoma"/>
          <w:snapToGrid w:val="0"/>
          <w:sz w:val="16"/>
          <w:szCs w:val="16"/>
          <w:lang w:eastAsia="pl-PL"/>
        </w:rPr>
      </w:pPr>
      <w:r w:rsidRPr="00A17806">
        <w:rPr>
          <w:rFonts w:ascii="Tahoma" w:eastAsia="Times New Roman" w:hAnsi="Tahoma" w:cs="Tahoma"/>
          <w:bCs/>
          <w:sz w:val="16"/>
          <w:szCs w:val="16"/>
          <w:lang w:eastAsia="pl-PL"/>
        </w:rPr>
        <w:t>Ze względów bezpieczeństwa oprogramowanie Kiosku multimedialnego uniemożliwia zadysponowanie załadunku Pojazdu powyżej 96% maksymalnej pojemości komór.</w:t>
      </w:r>
    </w:p>
    <w:p w:rsidR="00EB0C29" w:rsidRPr="00A17806" w:rsidRDefault="00EB0C29" w:rsidP="00EB0C29">
      <w:pPr>
        <w:numPr>
          <w:ilvl w:val="0"/>
          <w:numId w:val="3"/>
        </w:numPr>
        <w:autoSpaceDE w:val="0"/>
        <w:autoSpaceDN w:val="0"/>
        <w:spacing w:after="0"/>
        <w:jc w:val="both"/>
        <w:rPr>
          <w:rFonts w:ascii="Tahoma" w:eastAsia="Times New Roman" w:hAnsi="Tahoma" w:cs="Tahoma"/>
          <w:snapToGrid w:val="0"/>
          <w:sz w:val="16"/>
          <w:szCs w:val="16"/>
          <w:lang w:eastAsia="pl-PL"/>
        </w:rPr>
      </w:pPr>
      <w:r w:rsidRPr="00A17806">
        <w:rPr>
          <w:rFonts w:ascii="Tahoma" w:eastAsia="Times New Roman" w:hAnsi="Tahoma" w:cs="Tahoma"/>
          <w:bCs/>
          <w:sz w:val="16"/>
          <w:szCs w:val="16"/>
          <w:lang w:eastAsia="pl-PL"/>
        </w:rPr>
        <w:t xml:space="preserve">Po </w:t>
      </w:r>
      <w:r w:rsidRPr="00A17806">
        <w:rPr>
          <w:rFonts w:ascii="Tahoma" w:eastAsia="Times New Roman" w:hAnsi="Tahoma" w:cs="Tahoma"/>
          <w:bCs/>
          <w:snapToGrid w:val="0"/>
          <w:sz w:val="16"/>
          <w:szCs w:val="16"/>
          <w:lang w:eastAsia="pl-PL"/>
        </w:rPr>
        <w:t>wydrukowaniu Dyspozycji</w:t>
      </w:r>
      <w:r w:rsidRPr="00A17806">
        <w:rPr>
          <w:rFonts w:ascii="Tahoma" w:eastAsia="Times New Roman" w:hAnsi="Tahoma" w:cs="Tahoma"/>
          <w:b/>
          <w:bCs/>
          <w:snapToGrid w:val="0"/>
          <w:sz w:val="16"/>
          <w:szCs w:val="16"/>
          <w:lang w:eastAsia="pl-PL"/>
        </w:rPr>
        <w:t xml:space="preserve">, </w:t>
      </w:r>
      <w:r w:rsidRPr="00A17806">
        <w:rPr>
          <w:rFonts w:ascii="Tahoma" w:eastAsia="Times New Roman" w:hAnsi="Tahoma" w:cs="Tahoma"/>
          <w:sz w:val="16"/>
          <w:szCs w:val="16"/>
          <w:lang w:eastAsia="pl-PL"/>
        </w:rPr>
        <w:t xml:space="preserve">zawierającej </w:t>
      </w:r>
      <w:r w:rsidRPr="00A17806">
        <w:rPr>
          <w:rFonts w:ascii="Tahoma" w:eastAsia="Times New Roman" w:hAnsi="Tahoma" w:cs="Tahoma"/>
          <w:bCs/>
          <w:sz w:val="16"/>
          <w:szCs w:val="16"/>
          <w:lang w:eastAsia="pl-PL"/>
        </w:rPr>
        <w:t>opis rozmieszczenia Produktów w komorach Pojazdu, do którego nastąpi załadunek</w:t>
      </w:r>
      <w:r w:rsidRPr="00A17806">
        <w:rPr>
          <w:rFonts w:ascii="Tahoma" w:eastAsia="Times New Roman" w:hAnsi="Tahoma" w:cs="Tahoma"/>
          <w:snapToGrid w:val="0"/>
          <w:sz w:val="16"/>
          <w:szCs w:val="16"/>
          <w:lang w:eastAsia="pl-PL"/>
        </w:rPr>
        <w:t xml:space="preserve"> i </w:t>
      </w:r>
      <w:r w:rsidRPr="00A17806">
        <w:rPr>
          <w:rFonts w:ascii="Tahoma" w:eastAsia="Times New Roman" w:hAnsi="Tahoma" w:cs="Tahoma"/>
          <w:sz w:val="16"/>
          <w:szCs w:val="16"/>
          <w:lang w:eastAsia="pl-PL"/>
        </w:rPr>
        <w:t>5-cyfrowy kod Dyspozycji przeznaczony do wpisania na klawiaturze sterownika nalewu,</w:t>
      </w:r>
      <w:r w:rsidRPr="00A17806">
        <w:rPr>
          <w:rFonts w:ascii="Tahoma" w:eastAsia="Times New Roman" w:hAnsi="Tahoma" w:cs="Tahoma"/>
          <w:snapToGrid w:val="0"/>
          <w:sz w:val="16"/>
          <w:szCs w:val="16"/>
          <w:lang w:eastAsia="pl-PL"/>
        </w:rPr>
        <w:t xml:space="preserve"> należy niezwłocznie udać się na stanowisko dystrybucyjne celem dokonania załadunku komór Pojazdu zgodnie z przepisami bezpieczeństwa obowiązującymi na terenie Terminala. </w:t>
      </w:r>
    </w:p>
    <w:p w:rsidR="00EB0C29" w:rsidRPr="00A17806" w:rsidRDefault="00EB0C29" w:rsidP="00EB0C29">
      <w:pPr>
        <w:numPr>
          <w:ilvl w:val="0"/>
          <w:numId w:val="3"/>
        </w:numPr>
        <w:autoSpaceDE w:val="0"/>
        <w:autoSpaceDN w:val="0"/>
        <w:spacing w:after="0"/>
        <w:jc w:val="both"/>
        <w:rPr>
          <w:rFonts w:ascii="Tahoma" w:eastAsia="Times New Roman" w:hAnsi="Tahoma" w:cs="Tahoma"/>
          <w:snapToGrid w:val="0"/>
          <w:sz w:val="16"/>
          <w:szCs w:val="16"/>
          <w:lang w:eastAsia="pl-PL"/>
        </w:rPr>
      </w:pPr>
      <w:r w:rsidRPr="00A17806">
        <w:rPr>
          <w:rFonts w:ascii="Tahoma" w:eastAsia="Times New Roman" w:hAnsi="Tahoma" w:cs="Tahoma"/>
          <w:bCs/>
          <w:snapToGrid w:val="0"/>
          <w:sz w:val="16"/>
          <w:szCs w:val="16"/>
          <w:lang w:eastAsia="pl-PL"/>
        </w:rPr>
        <w:t>Po zakończeniu załadunku</w:t>
      </w:r>
      <w:r w:rsidRPr="00A17806">
        <w:rPr>
          <w:rFonts w:ascii="Tahoma" w:eastAsia="Times New Roman" w:hAnsi="Tahoma" w:cs="Tahoma"/>
          <w:snapToGrid w:val="0"/>
          <w:sz w:val="16"/>
          <w:szCs w:val="16"/>
          <w:lang w:eastAsia="pl-PL"/>
        </w:rPr>
        <w:t xml:space="preserve"> należy niezwłocznie udać się do Kiosku multimedialnego wyjazdowego (dostępnego z kabiny Pojazdu lub pieszego) i </w:t>
      </w:r>
      <w:r w:rsidRPr="00A17806">
        <w:rPr>
          <w:rFonts w:ascii="Tahoma" w:eastAsia="Times New Roman" w:hAnsi="Tahoma" w:cs="Tahoma"/>
          <w:sz w:val="16"/>
          <w:szCs w:val="16"/>
          <w:lang w:eastAsia="pl-PL"/>
        </w:rPr>
        <w:t>wykonać następujące czynności</w:t>
      </w:r>
      <w:r w:rsidRPr="00A17806">
        <w:rPr>
          <w:rFonts w:ascii="Tahoma" w:eastAsia="Times New Roman" w:hAnsi="Tahoma" w:cs="Tahoma"/>
          <w:snapToGrid w:val="0"/>
          <w:sz w:val="16"/>
          <w:szCs w:val="16"/>
          <w:lang w:eastAsia="pl-PL"/>
        </w:rPr>
        <w:t>:</w:t>
      </w:r>
    </w:p>
    <w:p w:rsidR="00EB0C29" w:rsidRPr="00A17806" w:rsidRDefault="00EB0C29" w:rsidP="00EB0C29">
      <w:pPr>
        <w:numPr>
          <w:ilvl w:val="0"/>
          <w:numId w:val="6"/>
        </w:numPr>
        <w:spacing w:after="0"/>
        <w:jc w:val="both"/>
        <w:rPr>
          <w:rFonts w:ascii="Tahoma" w:hAnsi="Tahoma" w:cs="Tahoma"/>
          <w:sz w:val="16"/>
          <w:szCs w:val="16"/>
        </w:rPr>
      </w:pPr>
      <w:r w:rsidRPr="00A17806">
        <w:rPr>
          <w:rFonts w:ascii="Tahoma" w:hAnsi="Tahoma" w:cs="Tahoma"/>
          <w:sz w:val="16"/>
          <w:szCs w:val="16"/>
        </w:rPr>
        <w:t xml:space="preserve">dokonać identyfikacji Kierowcy zbliżając Kartę identyfikacyjną Kierowcy do czytnika Kart, </w:t>
      </w:r>
    </w:p>
    <w:p w:rsidR="00EB0C29" w:rsidRPr="00A17806" w:rsidRDefault="00EB0C29" w:rsidP="00EB0C29">
      <w:pPr>
        <w:numPr>
          <w:ilvl w:val="0"/>
          <w:numId w:val="6"/>
        </w:numPr>
        <w:spacing w:after="0"/>
        <w:jc w:val="both"/>
        <w:rPr>
          <w:rFonts w:ascii="Tahoma" w:hAnsi="Tahoma" w:cs="Tahoma"/>
          <w:sz w:val="16"/>
          <w:szCs w:val="16"/>
        </w:rPr>
      </w:pPr>
      <w:r w:rsidRPr="00A17806">
        <w:rPr>
          <w:rFonts w:ascii="Tahoma" w:hAnsi="Tahoma" w:cs="Tahoma"/>
          <w:sz w:val="16"/>
          <w:szCs w:val="16"/>
        </w:rPr>
        <w:t>wydrukować i odebrać dokumenty przewozowe oraz świadectwo/a jakości dla realizowanej Dyspozycji – dokumenty nie wymagają podpisu Kierowcy ani pracownika Terminala,</w:t>
      </w:r>
    </w:p>
    <w:p w:rsidR="00EB0C29" w:rsidRPr="00A17806" w:rsidRDefault="00EB0C29" w:rsidP="00EB0C29">
      <w:pPr>
        <w:numPr>
          <w:ilvl w:val="0"/>
          <w:numId w:val="6"/>
        </w:numPr>
        <w:spacing w:after="0"/>
        <w:jc w:val="both"/>
        <w:rPr>
          <w:rFonts w:ascii="Tahoma" w:hAnsi="Tahoma" w:cs="Tahoma"/>
          <w:sz w:val="16"/>
          <w:szCs w:val="16"/>
        </w:rPr>
      </w:pPr>
      <w:r w:rsidRPr="00A17806">
        <w:rPr>
          <w:rFonts w:ascii="Tahoma" w:hAnsi="Tahoma" w:cs="Tahoma"/>
          <w:sz w:val="16"/>
          <w:szCs w:val="16"/>
        </w:rPr>
        <w:t>niezwłocznie opuścić teren Terminala.</w:t>
      </w:r>
    </w:p>
    <w:p w:rsidR="00EB0C29" w:rsidRPr="00A17806" w:rsidRDefault="00EB0C29" w:rsidP="00EB0C29">
      <w:pPr>
        <w:numPr>
          <w:ilvl w:val="0"/>
          <w:numId w:val="3"/>
        </w:numPr>
        <w:autoSpaceDE w:val="0"/>
        <w:autoSpaceDN w:val="0"/>
        <w:spacing w:after="0"/>
        <w:jc w:val="both"/>
        <w:rPr>
          <w:rFonts w:ascii="Tahoma" w:eastAsia="Times New Roman" w:hAnsi="Tahoma" w:cs="Tahoma"/>
          <w:snapToGrid w:val="0"/>
          <w:sz w:val="16"/>
          <w:szCs w:val="16"/>
          <w:lang w:eastAsia="pl-PL"/>
        </w:rPr>
      </w:pPr>
      <w:r w:rsidRPr="00A17806">
        <w:rPr>
          <w:rFonts w:ascii="Tahoma" w:eastAsia="Times New Roman" w:hAnsi="Tahoma" w:cs="Tahoma"/>
          <w:snapToGrid w:val="0"/>
          <w:sz w:val="16"/>
          <w:szCs w:val="16"/>
          <w:lang w:eastAsia="pl-PL"/>
        </w:rPr>
        <w:t xml:space="preserve">W przypadku braku sprawnej Karty identyfikacyjnej Kierowcy lub Pojazdu Kierowca może wjechać na teren Terminala                     i odebrać Produkty w trybie awaryjnym. Realizacja odbioru Produktów w trybie awaryjnym możliwa jest </w:t>
      </w:r>
      <w:r w:rsidRPr="00A17806">
        <w:rPr>
          <w:rFonts w:ascii="Tahoma" w:eastAsia="Times New Roman" w:hAnsi="Tahoma" w:cs="Tahoma"/>
          <w:sz w:val="16"/>
          <w:szCs w:val="16"/>
          <w:lang w:eastAsia="pl-PL"/>
        </w:rPr>
        <w:t>na podstawie</w:t>
      </w:r>
      <w:r w:rsidRPr="00A17806">
        <w:rPr>
          <w:rFonts w:ascii="Tahoma" w:eastAsia="Times New Roman" w:hAnsi="Tahoma" w:cs="Tahoma"/>
          <w:snapToGrid w:val="0"/>
          <w:sz w:val="16"/>
          <w:szCs w:val="16"/>
          <w:lang w:eastAsia="pl-PL"/>
        </w:rPr>
        <w:t xml:space="preserve"> gotowego Planu załadunku odebranego od Dyspozytora Terminala po uzyskaniu zgody CBOK.</w:t>
      </w:r>
    </w:p>
    <w:p w:rsidR="00EB0C29" w:rsidRPr="00A17806" w:rsidRDefault="00EB0C29" w:rsidP="00EB0C29">
      <w:pPr>
        <w:numPr>
          <w:ilvl w:val="0"/>
          <w:numId w:val="3"/>
        </w:numPr>
        <w:autoSpaceDE w:val="0"/>
        <w:autoSpaceDN w:val="0"/>
        <w:spacing w:after="0"/>
        <w:jc w:val="both"/>
        <w:rPr>
          <w:rFonts w:ascii="Tahoma" w:eastAsia="Times New Roman" w:hAnsi="Tahoma" w:cs="Tahoma"/>
          <w:snapToGrid w:val="0"/>
          <w:sz w:val="16"/>
          <w:szCs w:val="16"/>
          <w:lang w:eastAsia="pl-PL"/>
        </w:rPr>
      </w:pPr>
      <w:r w:rsidRPr="00A17806">
        <w:rPr>
          <w:rFonts w:ascii="Tahoma" w:eastAsia="Times New Roman" w:hAnsi="Tahoma" w:cs="Tahoma"/>
          <w:snapToGrid w:val="0"/>
          <w:sz w:val="16"/>
          <w:szCs w:val="16"/>
          <w:lang w:eastAsia="pl-PL"/>
        </w:rPr>
        <w:t xml:space="preserve">Podczas odbioru Produktów w ramach trybu awaryjnego nie dopuszcza się dokonywania modyfikacji Dyspozycji. </w:t>
      </w: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EB0C29" w:rsidRPr="00A17806" w:rsidRDefault="00EB0C29" w:rsidP="00EB0C29">
      <w:pPr>
        <w:spacing w:after="0"/>
        <w:rPr>
          <w:rFonts w:ascii="Tahoma" w:hAnsi="Tahoma" w:cs="Tahoma"/>
          <w:sz w:val="16"/>
          <w:szCs w:val="16"/>
        </w:rPr>
      </w:pPr>
    </w:p>
    <w:p w:rsidR="000C4669" w:rsidRDefault="000C24D4"/>
    <w:sectPr w:rsidR="000C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3E7"/>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1" w15:restartNumberingAfterBreak="0">
    <w:nsid w:val="0CF70424"/>
    <w:multiLevelType w:val="hybridMultilevel"/>
    <w:tmpl w:val="644060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4F6070F"/>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3" w15:restartNumberingAfterBreak="0">
    <w:nsid w:val="40CF074D"/>
    <w:multiLevelType w:val="hybridMultilevel"/>
    <w:tmpl w:val="867CAEAE"/>
    <w:lvl w:ilvl="0" w:tplc="BB4E3532">
      <w:start w:val="1"/>
      <w:numFmt w:val="lowerLetter"/>
      <w:lvlText w:val="%1)"/>
      <w:lvlJc w:val="left"/>
      <w:pPr>
        <w:tabs>
          <w:tab w:val="num" w:pos="729"/>
        </w:tabs>
        <w:ind w:left="729" w:hanging="360"/>
      </w:pPr>
      <w:rPr>
        <w:rFonts w:cs="Times New Roman" w:hint="default"/>
      </w:rPr>
    </w:lvl>
    <w:lvl w:ilvl="1" w:tplc="EAE2976C">
      <w:start w:val="6"/>
      <w:numFmt w:val="decimal"/>
      <w:lvlText w:val="%2."/>
      <w:lvlJc w:val="left"/>
      <w:pPr>
        <w:tabs>
          <w:tab w:val="num" w:pos="18"/>
        </w:tabs>
        <w:ind w:left="18" w:hanging="360"/>
      </w:pPr>
      <w:rPr>
        <w:rFonts w:cs="Times New Roman" w:hint="default"/>
        <w:b w:val="0"/>
        <w:i w:val="0"/>
        <w:sz w:val="24"/>
        <w:szCs w:val="24"/>
      </w:rPr>
    </w:lvl>
    <w:lvl w:ilvl="2" w:tplc="0415001B" w:tentative="1">
      <w:start w:val="1"/>
      <w:numFmt w:val="lowerRoman"/>
      <w:lvlText w:val="%3."/>
      <w:lvlJc w:val="right"/>
      <w:pPr>
        <w:tabs>
          <w:tab w:val="num" w:pos="738"/>
        </w:tabs>
        <w:ind w:left="738" w:hanging="180"/>
      </w:pPr>
      <w:rPr>
        <w:rFonts w:cs="Times New Roman"/>
      </w:rPr>
    </w:lvl>
    <w:lvl w:ilvl="3" w:tplc="0415000F" w:tentative="1">
      <w:start w:val="1"/>
      <w:numFmt w:val="decimal"/>
      <w:lvlText w:val="%4."/>
      <w:lvlJc w:val="left"/>
      <w:pPr>
        <w:tabs>
          <w:tab w:val="num" w:pos="1458"/>
        </w:tabs>
        <w:ind w:left="1458" w:hanging="360"/>
      </w:pPr>
      <w:rPr>
        <w:rFonts w:cs="Times New Roman"/>
      </w:rPr>
    </w:lvl>
    <w:lvl w:ilvl="4" w:tplc="04150019" w:tentative="1">
      <w:start w:val="1"/>
      <w:numFmt w:val="lowerLetter"/>
      <w:lvlText w:val="%5."/>
      <w:lvlJc w:val="left"/>
      <w:pPr>
        <w:tabs>
          <w:tab w:val="num" w:pos="2178"/>
        </w:tabs>
        <w:ind w:left="2178" w:hanging="360"/>
      </w:pPr>
      <w:rPr>
        <w:rFonts w:cs="Times New Roman"/>
      </w:rPr>
    </w:lvl>
    <w:lvl w:ilvl="5" w:tplc="0415001B" w:tentative="1">
      <w:start w:val="1"/>
      <w:numFmt w:val="lowerRoman"/>
      <w:lvlText w:val="%6."/>
      <w:lvlJc w:val="right"/>
      <w:pPr>
        <w:tabs>
          <w:tab w:val="num" w:pos="2898"/>
        </w:tabs>
        <w:ind w:left="2898" w:hanging="180"/>
      </w:pPr>
      <w:rPr>
        <w:rFonts w:cs="Times New Roman"/>
      </w:rPr>
    </w:lvl>
    <w:lvl w:ilvl="6" w:tplc="0415000F" w:tentative="1">
      <w:start w:val="1"/>
      <w:numFmt w:val="decimal"/>
      <w:lvlText w:val="%7."/>
      <w:lvlJc w:val="left"/>
      <w:pPr>
        <w:tabs>
          <w:tab w:val="num" w:pos="3618"/>
        </w:tabs>
        <w:ind w:left="3618" w:hanging="360"/>
      </w:pPr>
      <w:rPr>
        <w:rFonts w:cs="Times New Roman"/>
      </w:rPr>
    </w:lvl>
    <w:lvl w:ilvl="7" w:tplc="04150019" w:tentative="1">
      <w:start w:val="1"/>
      <w:numFmt w:val="lowerLetter"/>
      <w:lvlText w:val="%8."/>
      <w:lvlJc w:val="left"/>
      <w:pPr>
        <w:tabs>
          <w:tab w:val="num" w:pos="4338"/>
        </w:tabs>
        <w:ind w:left="4338" w:hanging="360"/>
      </w:pPr>
      <w:rPr>
        <w:rFonts w:cs="Times New Roman"/>
      </w:rPr>
    </w:lvl>
    <w:lvl w:ilvl="8" w:tplc="0415001B" w:tentative="1">
      <w:start w:val="1"/>
      <w:numFmt w:val="lowerRoman"/>
      <w:lvlText w:val="%9."/>
      <w:lvlJc w:val="right"/>
      <w:pPr>
        <w:tabs>
          <w:tab w:val="num" w:pos="5058"/>
        </w:tabs>
        <w:ind w:left="5058" w:hanging="180"/>
      </w:pPr>
      <w:rPr>
        <w:rFonts w:cs="Times New Roman"/>
      </w:rPr>
    </w:lvl>
  </w:abstractNum>
  <w:abstractNum w:abstractNumId="4" w15:restartNumberingAfterBreak="0">
    <w:nsid w:val="52B106F5"/>
    <w:multiLevelType w:val="hybridMultilevel"/>
    <w:tmpl w:val="644060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8F9737A"/>
    <w:multiLevelType w:val="multilevel"/>
    <w:tmpl w:val="855A3088"/>
    <w:lvl w:ilvl="0">
      <w:start w:val="1"/>
      <w:numFmt w:val="decimal"/>
      <w:lvlText w:val="%1."/>
      <w:lvlJc w:val="left"/>
      <w:pPr>
        <w:tabs>
          <w:tab w:val="num" w:pos="425"/>
        </w:tabs>
        <w:ind w:left="425" w:hanging="425"/>
      </w:pPr>
      <w:rPr>
        <w:rFonts w:cs="Times New Roman" w:hint="default"/>
        <w:b w:val="0"/>
        <w:i w:val="0"/>
        <w:sz w:val="16"/>
        <w:szCs w:val="16"/>
      </w:rPr>
    </w:lvl>
    <w:lvl w:ilvl="1">
      <w:start w:val="1"/>
      <w:numFmt w:val="lowerLetter"/>
      <w:lvlText w:val="%2)"/>
      <w:lvlJc w:val="left"/>
      <w:pPr>
        <w:tabs>
          <w:tab w:val="num" w:pos="737"/>
        </w:tabs>
        <w:ind w:left="737" w:hanging="312"/>
      </w:pPr>
      <w:rPr>
        <w:rFonts w:cs="Times New Roman" w:hint="default"/>
      </w:rPr>
    </w:lvl>
    <w:lvl w:ilvl="2">
      <w:start w:val="1"/>
      <w:numFmt w:val="none"/>
      <w:lvlText w:val="i)"/>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b w:val="0"/>
        <w:i w:val="0"/>
        <w:sz w:val="24"/>
        <w:szCs w:val="24"/>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29"/>
    <w:rsid w:val="000C24D4"/>
    <w:rsid w:val="00105951"/>
    <w:rsid w:val="006C0BD8"/>
    <w:rsid w:val="00D70546"/>
    <w:rsid w:val="00EB0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176C"/>
  <w15:chartTrackingRefBased/>
  <w15:docId w15:val="{E173DC68-C5B7-47C0-8C0B-31BD0AC4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C2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5361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Żółtowski Paweł (PKN)</dc:creator>
  <cp:keywords/>
  <dc:description/>
  <cp:lastModifiedBy>Żółtowski Paweł (PKN)</cp:lastModifiedBy>
  <cp:revision>2</cp:revision>
  <dcterms:created xsi:type="dcterms:W3CDTF">2023-06-27T10:19:00Z</dcterms:created>
  <dcterms:modified xsi:type="dcterms:W3CDTF">2023-06-27T13:23:00Z</dcterms:modified>
</cp:coreProperties>
</file>